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通所介護 リスク管理様式 2026年版</w:t>
      </w:r>
    </w:p>
    <w:p>
      <w:pPr>
        <w:jc w:val="center"/>
      </w:pPr>
      <w:r>
        <w:rPr>
          <w:color w:val="5F7076"/>
          <w:sz w:val="20"/>
        </w:rPr>
        <w:t>送迎・入浴・誤嚥の事故予防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○○デイサービス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送迎のリスク管理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乗降時の見守り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ふらつきに注意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車内の安全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シートベルト・体調観察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事故時の対応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連絡体制を整備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入浴のリスク管理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体調確認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入浴前のバイタル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溺水・転倒予防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見守り・手すり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ヒートショック予防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温度差をなくす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誤嚥のリスク管理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姿勢・食形態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座位・適切な食形態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観察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むせ・咳の確認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緊急対応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吸引・救急連絡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・通所介護では送迎・入浴・誤嚥が三大リスクです。</w:t>
      </w:r>
    </w:p>
    <w:p>
      <w:r>
        <w:rPr>
          <w:color w:val="263B43"/>
          <w:sz w:val="18"/>
        </w:rPr>
        <w:t>・各場面のリスクを予測し、予防策を講じます。</w:t>
      </w:r>
    </w:p>
    <w:p>
      <w:r>
        <w:rPr>
          <w:color w:val="263B43"/>
          <w:sz w:val="18"/>
        </w:rPr>
        <w:t>・事故・ヒヤリハットは記録し、再発防止につなげます。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・リスク管理は事故防止委員会と連動します。</w:t>
      </w:r>
    </w:p>
    <w:p>
      <w:r>
        <w:rPr>
          <w:color w:val="263B43"/>
          <w:sz w:val="18"/>
        </w:rPr>
        <w:t>・関連様式：ヒヤリハット報告書、事故報告書、送迎記録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