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身体拘束適正化委員会 運営様式 2026年版</w:t>
      </w:r>
    </w:p>
    <w:p>
      <w:pPr>
        <w:jc w:val="center"/>
      </w:pPr>
      <w:r>
        <w:rPr>
          <w:color w:val="5F7076"/>
          <w:sz w:val="20"/>
        </w:rPr>
        <w:t>委員会運営・議事録・指針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○○介護施設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委員長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管理者 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開催頻度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年○回以上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委員会の構成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委員長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管理者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委員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看護師・介護リーダー・相談員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開催頻度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定期（年複数回）＋随時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検討事項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身体拘束の実施状況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現在○名、内容と理由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3要件の妥当性検討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切迫性・非代替性・一時性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解除に向けた取組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代替方法の検討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研修・周知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職員研修の実施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年○回の研修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指針の周知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全職員へ周知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記録の整備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拘束記録の点検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・身体拘束適正化委員会は定期開催し、実施状況と妥当性を検討します。</w:t>
      </w:r>
    </w:p>
    <w:p>
      <w:r>
        <w:rPr>
          <w:color w:val="263B43"/>
          <w:sz w:val="18"/>
        </w:rPr>
        <w:t>・指針の整備・委員会・研修・記録が運営基準上の義務です。</w:t>
      </w:r>
    </w:p>
    <w:p>
      <w:r>
        <w:rPr>
          <w:color w:val="263B43"/>
          <w:sz w:val="18"/>
        </w:rPr>
        <w:t>・解除に向けた取組を継続的に検討します。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・身体拘束廃止未実施減算を避けるため、4要素（指針・委員会・研修・記録）を整備します。</w:t>
      </w:r>
    </w:p>
    <w:p>
      <w:r>
        <w:rPr>
          <w:color w:val="263B43"/>
          <w:sz w:val="18"/>
        </w:rPr>
        <w:t>・関連様式：身体拘束適正化記録、説明同意書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