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ケアプランデータ連携 運用様式 2026年版</w:t>
      </w:r>
    </w:p>
    <w:p>
      <w:pPr>
        <w:jc w:val="center"/>
      </w:pPr>
      <w:r>
        <w:rPr>
          <w:color w:val="5F7076"/>
          <w:sz w:val="20"/>
        </w:rPr>
        <w:t>ケアプランデータ連携システム対応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事業所名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○○居宅介護支援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作成日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2026年6月7日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管理者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連携の概要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連携の目的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ケアプランの電子的なやり取りで業務効率化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連携先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居宅介護支援事業所⇔サービス事業所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対象帳票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ケアプラン第1〜3表、提供票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運用ルール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データ送受信の手順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システムを通じて送受信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確認・承認の流れ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受信後に内容確認・承認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セキュリティ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ID・パスワード管理、アクセス制限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導入効果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FAX・郵送の削減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月○件削減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確認作業の効率化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転記ミスの防止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・ケアプランデータ連携は、FAX・郵送をなくし業務を効率化します。</w:t>
      </w:r>
    </w:p>
    <w:p>
      <w:r>
        <w:rPr>
          <w:color w:val="263B43"/>
          <w:sz w:val="18"/>
        </w:rPr>
        <w:t>・送受信・確認・承認の流れと、セキュリティ管理を明確にします。</w:t>
      </w:r>
    </w:p>
    <w:p>
      <w:r>
        <w:rPr>
          <w:color w:val="263B43"/>
          <w:sz w:val="18"/>
        </w:rPr>
        <w:t>・導入効果（削減件数等）を記録します。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・データ連携にはケアプランデータ連携システムの利用が前提です。</w:t>
      </w:r>
    </w:p>
    <w:p>
      <w:r>
        <w:rPr>
          <w:color w:val="263B43"/>
          <w:sz w:val="18"/>
        </w:rPr>
        <w:t>・関連様式：ケアプラン各表、提供票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