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rFonts w:ascii="MS Gothic" w:cs="MS Gothic" w:eastAsia="MS Gothic" w:hAnsi="MS Gothic"/>
          <w:b/>
          <w:bCs/>
          <w:sz w:val="40"/>
          <w:szCs w:val="40"/>
        </w:rPr>
        <w:t xml:space="preserve">業務継続計画（BCP）簡易版</w:t>
      </w:r>
    </w:p>
    <w:p>
      <w:pPr>
        <w:spacing w:after="300" w:before="0"/>
        <w:jc w:val="center"/>
      </w:pPr>
      <w:r>
        <w:rPr>
          <w:rFonts w:ascii="MS Gothic" w:cs="MS Gothic" w:eastAsia="MS Gothic" w:hAnsi="MS Gothic"/>
          <w:sz w:val="26"/>
          <w:szCs w:val="26"/>
        </w:rPr>
        <w:t xml:space="preserve">自然災害・感染症対応</w:t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1. 施設基本情報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施設名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所在地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代表電話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管理者名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策定日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改定日</w:t>
            </w:r>
          </w:p>
        </w:tc>
        <w:tc>
          <w:tcPr>
            <w:tcW w:type="dxa" w:w="24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2. 平時からの備え</w:t>
      </w:r>
    </w:p>
    <w:p>
      <w:pPr>
        <w:spacing w:after="80" w:before="150"/>
      </w:pPr>
      <w:r>
        <w:rPr>
          <w:rFonts w:ascii="MS Gothic" w:cs="MS Gothic" w:eastAsia="MS Gothic" w:hAnsi="MS Gothic"/>
          <w:b/>
          <w:bCs/>
          <w:sz w:val="20"/>
          <w:szCs w:val="20"/>
        </w:rPr>
        <w:t xml:space="preserve">■ 人員：緊急時参集ルール・役割分担</w:t>
      </w:r>
    </w:p>
    <w:p>
      <w:pPr>
        <w:spacing w:after="60" w:before="60"/>
      </w:pPr>
      <w:r>
        <w:rPr>
          <w:rFonts w:ascii="MS Gothic" w:cs="MS Gothic" w:eastAsia="MS Gothic" w:hAnsi="MS Gothic"/>
          <w:sz w:val="20"/>
          <w:szCs w:val="20"/>
        </w:rPr>
        <w:t xml:space="preserve">緊急時には管理者の指示のもと、可能な限り早期に参集してください。連絡が取れない場合は副担当者が対応します。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役割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担当者</w:t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代替者</w:t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統括責任者（管理者）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利用者安全確認担当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外部連絡担当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物資・設備担当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記録担当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80" w:before="150"/>
      </w:pPr>
      <w:r>
        <w:rPr>
          <w:rFonts w:ascii="MS Gothic" w:cs="MS Gothic" w:eastAsia="MS Gothic" w:hAnsi="MS Gothic"/>
          <w:b/>
          <w:bCs/>
          <w:sz w:val="20"/>
          <w:szCs w:val="20"/>
        </w:rPr>
        <w:t xml:space="preserve">■ 物資：備蓄品チェックリスト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11"/>
      </w:tblGrid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品目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目標数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現在数</w:t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次回確認日</w:t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食料（非常食）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3日分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飲料水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3日分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マスク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30日分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消毒液・手指消毒剤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30日分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使い捨て手袋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30日分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医療用品（包帯・絆創膏等）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懐中電灯・予備電池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毛布・防寒具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利用者数分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携帯電話・充電器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重要書類のコピー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最新版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3. 発生時の対応手順</w:t>
      </w:r>
    </w:p>
    <w:p>
      <w:pPr>
        <w:spacing w:after="80" w:before="150"/>
      </w:pPr>
      <w:r>
        <w:rPr>
          <w:rFonts w:ascii="MS Gothic" w:cs="MS Gothic" w:eastAsia="MS Gothic" w:hAnsi="MS Gothic"/>
          <w:b/>
          <w:bCs/>
          <w:sz w:val="20"/>
          <w:szCs w:val="20"/>
        </w:rPr>
        <w:t xml:space="preserve">■ 自然災害時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8E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【STEP1】安全確認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【STEP2】利用者誘導・避難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【STEP3】被害確認・記録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【STEP4】行政・関係機関への報告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・職員の安否確認と参集を行う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・利用者を安全な場所へ誘導する（避難経路を使用）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・施設・設備の被害状況を確認し記録する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・市区町村・保険者・家族へ速やかに報告する</w:t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80" w:before="150"/>
      </w:pPr>
      <w:r>
        <w:rPr>
          <w:rFonts w:ascii="MS Gothic" w:cs="MS Gothic" w:eastAsia="MS Gothic" w:hAnsi="MS Gothic"/>
          <w:b/>
          <w:bCs/>
          <w:sz w:val="20"/>
          <w:szCs w:val="20"/>
        </w:rPr>
        <w:t xml:space="preserve">■ 感染症発生時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F5E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【STEP1】発症確認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【STEP2】隔離・個室対応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【STEP3】報告・連絡</w:t>
            </w:r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【STEP4】消毒・清掃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・発症者を速やかに隔離し、担当者・管理者へ報告する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・保健所・医療機関へ連絡し指示を仰ぐ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・濃厚接触者を確認し、健康観察を開始する</w:t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・発症区域の消毒・清掃を実施し、記録に残す</w:t>
            </w:r>
          </w:p>
        </w:tc>
      </w:tr>
    </w:tbl>
    <w:p>
      <w:pPr>
        <w:spacing w:before="1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4. 緊急連絡先一覧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91"/>
        <w:gridCol w:w="2409"/>
        <w:gridCol w:w="1927"/>
        <w:gridCol w:w="2411"/>
      </w:tblGrid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機関名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電話番号</w:t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担当者</w:t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消防署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警察署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保健所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かかりつけ医療機関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市区町村介護保険担当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ライフライン（電気）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ライフライン（水道）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ライフライン（ガス）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近隣協力施設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9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その他</w:t>
            </w:r>
          </w:p>
        </w:tc>
        <w:tc>
          <w:tcPr>
            <w:tcW w:type="dxa" w:w="240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92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4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5. 復旧に向けた対応</w:t>
      </w:r>
    </w:p>
    <w:p>
      <w:pPr>
        <w:spacing w:after="60" w:before="60"/>
      </w:pPr>
      <w:r>
        <w:rPr>
          <w:rFonts w:ascii="MS Gothic" w:cs="MS Gothic" w:eastAsia="MS Gothic" w:hAnsi="MS Gothic"/>
          <w:sz w:val="20"/>
          <w:szCs w:val="20"/>
        </w:rPr>
        <w:t xml:space="preserve">以下にサービス再開の目安・手順を記載してください。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top w:val="single" w:color="000000" w:sz="4"/>
        </w:pBdr>
        <w:spacing w:before="100"/>
        <w:jc w:val="right"/>
      </w:pPr>
      <w:r>
        <w:rPr>
          <w:rFonts w:ascii="MS Gothic" w:cs="MS Gothic" w:eastAsia="MS Gothic" w:hAnsi="MS Gothic"/>
          <w:sz w:val="20"/>
          <w:szCs w:val="20"/>
        </w:rPr>
        <w:t xml:space="preserve">Ver._______　　策定日：　　　年　　月　　日</w:t>
      </w:r>
    </w:p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2026-03-28T10:19:23.206Z</dcterms:created>
  <dcterms:modified xsi:type="dcterms:W3CDTF">2026-03-28T10:19:23.210Z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